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3A" w:rsidRDefault="0009353A" w:rsidP="0009353A">
      <w:pPr>
        <w:jc w:val="center"/>
        <w:rPr>
          <w:rFonts w:ascii="Arial" w:hAnsi="Arial"/>
          <w:b/>
          <w:i/>
          <w:caps/>
        </w:rPr>
      </w:pPr>
      <w:bookmarkStart w:id="0" w:name="_GoBack"/>
      <w:bookmarkEnd w:id="0"/>
      <w:r w:rsidRPr="009C55C2">
        <w:rPr>
          <w:rFonts w:ascii="Arial" w:hAnsi="Arial"/>
          <w:b/>
          <w:i/>
          <w:caps/>
        </w:rPr>
        <w:t>“Friendly Reminder”</w:t>
      </w:r>
      <w:r>
        <w:rPr>
          <w:rFonts w:ascii="Arial" w:hAnsi="Arial"/>
          <w:b/>
          <w:i/>
          <w:caps/>
        </w:rPr>
        <w:t xml:space="preserve"> </w:t>
      </w:r>
    </w:p>
    <w:p w:rsidR="0009353A" w:rsidRDefault="0009353A" w:rsidP="0009353A">
      <w:pPr>
        <w:jc w:val="center"/>
        <w:rPr>
          <w:rFonts w:ascii="Arial" w:hAnsi="Arial"/>
          <w:b/>
          <w:caps/>
        </w:rPr>
      </w:pPr>
      <w:r w:rsidRPr="009C55C2">
        <w:rPr>
          <w:rFonts w:ascii="Arial" w:hAnsi="Arial"/>
          <w:b/>
          <w:caps/>
        </w:rPr>
        <w:t xml:space="preserve">FROM THE TEST DISTRIBUTION CENTER (TDC) </w:t>
      </w:r>
    </w:p>
    <w:p w:rsidR="0009353A" w:rsidRPr="009C55C2" w:rsidRDefault="0009353A" w:rsidP="0009353A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FALL</w:t>
      </w:r>
      <w:r w:rsidRPr="009C55C2">
        <w:rPr>
          <w:rFonts w:ascii="Arial" w:hAnsi="Arial"/>
          <w:b/>
          <w:caps/>
        </w:rPr>
        <w:t xml:space="preserve"> 2013 </w:t>
      </w:r>
      <w:r>
        <w:rPr>
          <w:rFonts w:ascii="Arial" w:hAnsi="Arial"/>
          <w:b/>
          <w:caps/>
        </w:rPr>
        <w:t xml:space="preserve">fcat 2.0 reading retake </w:t>
      </w:r>
      <w:r w:rsidRPr="009C55C2">
        <w:rPr>
          <w:rFonts w:ascii="Arial" w:hAnsi="Arial"/>
          <w:b/>
          <w:caps/>
        </w:rPr>
        <w:t>RETURN SCHEDULE</w:t>
      </w:r>
    </w:p>
    <w:p w:rsidR="0009353A" w:rsidRPr="00CB6AC3" w:rsidRDefault="0009353A" w:rsidP="0009353A">
      <w:pPr>
        <w:tabs>
          <w:tab w:val="left" w:pos="2745"/>
        </w:tabs>
        <w:rPr>
          <w:rFonts w:ascii="Arial" w:hAnsi="Arial"/>
          <w:caps/>
          <w:sz w:val="20"/>
          <w:szCs w:val="20"/>
        </w:rPr>
      </w:pPr>
      <w:r w:rsidRPr="00E45383">
        <w:rPr>
          <w:rFonts w:ascii="Arial" w:hAnsi="Arial"/>
          <w:b/>
          <w:sz w:val="22"/>
          <w:szCs w:val="22"/>
        </w:rPr>
        <w:tab/>
      </w:r>
    </w:p>
    <w:p w:rsidR="0009353A" w:rsidRPr="00B34566" w:rsidRDefault="0009353A" w:rsidP="0009353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/>
        <w:jc w:val="both"/>
        <w:rPr>
          <w:rFonts w:ascii="Arial" w:hAnsi="Arial"/>
          <w:caps/>
          <w:sz w:val="20"/>
          <w:szCs w:val="20"/>
          <w:u w:val="single"/>
        </w:rPr>
      </w:pPr>
      <w:r w:rsidRPr="00B34566">
        <w:rPr>
          <w:rFonts w:ascii="Arial" w:hAnsi="Arial"/>
          <w:caps/>
          <w:sz w:val="20"/>
          <w:szCs w:val="20"/>
        </w:rPr>
        <w:t>All paper-based</w:t>
      </w:r>
      <w:r>
        <w:rPr>
          <w:rFonts w:ascii="Arial" w:hAnsi="Arial"/>
          <w:caps/>
          <w:sz w:val="20"/>
          <w:szCs w:val="20"/>
        </w:rPr>
        <w:t xml:space="preserve"> ACCOMMODATIONS TEST MATERIALS </w:t>
      </w:r>
      <w:r w:rsidRPr="00B34566">
        <w:rPr>
          <w:rFonts w:ascii="Arial" w:hAnsi="Arial"/>
          <w:caps/>
          <w:sz w:val="20"/>
          <w:szCs w:val="20"/>
        </w:rPr>
        <w:t xml:space="preserve">must be HAND-DELIVERED to the test distribution Center on the designated dateS, </w:t>
      </w:r>
      <w:r w:rsidRPr="00B34566">
        <w:rPr>
          <w:rFonts w:ascii="Arial" w:hAnsi="Arial"/>
          <w:caps/>
          <w:sz w:val="20"/>
          <w:szCs w:val="20"/>
          <w:u w:val="single"/>
        </w:rPr>
        <w:t>no exceptions</w:t>
      </w:r>
      <w:r w:rsidRPr="00B34566">
        <w:rPr>
          <w:rFonts w:ascii="Arial" w:hAnsi="Arial"/>
          <w:caps/>
          <w:sz w:val="20"/>
          <w:szCs w:val="20"/>
        </w:rPr>
        <w:t>.</w:t>
      </w:r>
    </w:p>
    <w:p w:rsidR="0009353A" w:rsidRPr="00B34566" w:rsidRDefault="0009353A" w:rsidP="0009353A">
      <w:pPr>
        <w:tabs>
          <w:tab w:val="left" w:pos="2745"/>
        </w:tabs>
        <w:rPr>
          <w:rFonts w:ascii="Arial" w:hAnsi="Arial"/>
          <w:b/>
        </w:rPr>
      </w:pPr>
    </w:p>
    <w:p w:rsidR="0009353A" w:rsidRDefault="0009353A" w:rsidP="0009353A">
      <w:pPr>
        <w:jc w:val="center"/>
        <w:rPr>
          <w:rFonts w:ascii="Arial" w:hAnsi="Arial"/>
          <w:b/>
        </w:rPr>
      </w:pPr>
      <w:r w:rsidRPr="00B34566">
        <w:rPr>
          <w:rFonts w:ascii="Arial" w:hAnsi="Arial"/>
          <w:b/>
        </w:rPr>
        <w:t xml:space="preserve">Hand-deliver </w:t>
      </w:r>
      <w:r>
        <w:rPr>
          <w:rFonts w:ascii="Arial" w:hAnsi="Arial"/>
          <w:b/>
        </w:rPr>
        <w:t xml:space="preserve">“TO BE </w:t>
      </w:r>
      <w:r w:rsidRPr="00523506">
        <w:rPr>
          <w:rFonts w:ascii="Arial" w:hAnsi="Arial"/>
          <w:b/>
        </w:rPr>
        <w:t>SCORED</w:t>
      </w:r>
      <w:r>
        <w:rPr>
          <w:rFonts w:ascii="Arial" w:hAnsi="Arial"/>
          <w:b/>
        </w:rPr>
        <w:t>”</w:t>
      </w:r>
      <w:r w:rsidRPr="00523506">
        <w:rPr>
          <w:rFonts w:ascii="Arial" w:hAnsi="Arial"/>
          <w:b/>
        </w:rPr>
        <w:t xml:space="preserve"> &amp; </w:t>
      </w:r>
      <w:r>
        <w:rPr>
          <w:rFonts w:ascii="Arial" w:hAnsi="Arial"/>
          <w:b/>
        </w:rPr>
        <w:t>“</w:t>
      </w:r>
      <w:r w:rsidRPr="00523506">
        <w:rPr>
          <w:rFonts w:ascii="Arial" w:hAnsi="Arial"/>
          <w:b/>
        </w:rPr>
        <w:t xml:space="preserve">NOT TO BE SCORED” </w:t>
      </w:r>
      <w:r>
        <w:rPr>
          <w:rFonts w:ascii="Arial" w:hAnsi="Arial"/>
          <w:b/>
        </w:rPr>
        <w:t xml:space="preserve">paper-based materials </w:t>
      </w:r>
      <w:r w:rsidRPr="00523506">
        <w:rPr>
          <w:rFonts w:ascii="Arial" w:hAnsi="Arial"/>
          <w:b/>
        </w:rPr>
        <w:t xml:space="preserve">to the Test Distribution Center (TDC) by 3:30 pm on </w:t>
      </w:r>
    </w:p>
    <w:p w:rsidR="0009353A" w:rsidRDefault="0009353A" w:rsidP="0009353A">
      <w:pPr>
        <w:jc w:val="center"/>
        <w:rPr>
          <w:rFonts w:ascii="Arial" w:hAnsi="Arial"/>
          <w:b/>
          <w:color w:val="FF0000"/>
          <w:u w:val="single"/>
        </w:rPr>
      </w:pPr>
      <w:proofErr w:type="gramStart"/>
      <w:r>
        <w:rPr>
          <w:rFonts w:ascii="Arial" w:hAnsi="Arial"/>
          <w:b/>
          <w:color w:val="FF0000"/>
          <w:u w:val="single"/>
        </w:rPr>
        <w:t>Wednesday or Thursday</w:t>
      </w:r>
      <w:r w:rsidRPr="00523506">
        <w:rPr>
          <w:rFonts w:ascii="Arial" w:hAnsi="Arial"/>
          <w:b/>
          <w:color w:val="FF0000"/>
          <w:u w:val="single"/>
        </w:rPr>
        <w:t xml:space="preserve">, </w:t>
      </w:r>
      <w:r>
        <w:rPr>
          <w:rFonts w:ascii="Arial" w:hAnsi="Arial"/>
          <w:b/>
          <w:color w:val="FF0000"/>
          <w:u w:val="single"/>
        </w:rPr>
        <w:t>October 16 or 17</w:t>
      </w:r>
      <w:r w:rsidRPr="00523506">
        <w:rPr>
          <w:rFonts w:ascii="Arial" w:hAnsi="Arial"/>
          <w:b/>
          <w:color w:val="FF0000"/>
          <w:u w:val="single"/>
        </w:rPr>
        <w:t>, 2013.</w:t>
      </w:r>
      <w:proofErr w:type="gramEnd"/>
    </w:p>
    <w:p w:rsidR="0009353A" w:rsidRDefault="0009353A" w:rsidP="0009353A">
      <w:pPr>
        <w:jc w:val="center"/>
        <w:rPr>
          <w:rFonts w:ascii="Arial" w:hAnsi="Arial"/>
          <w:b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3594"/>
      </w:tblGrid>
      <w:tr w:rsidR="0009353A" w:rsidRPr="00B34566" w:rsidTr="00EA3C8D">
        <w:trPr>
          <w:trHeight w:val="254"/>
        </w:trPr>
        <w:tc>
          <w:tcPr>
            <w:tcW w:w="5982" w:type="dxa"/>
            <w:shd w:val="clear" w:color="auto" w:fill="BFBFBF"/>
          </w:tcPr>
          <w:p w:rsidR="0009353A" w:rsidRPr="00EC1644" w:rsidRDefault="0009353A" w:rsidP="00EA3C8D">
            <w:pPr>
              <w:tabs>
                <w:tab w:val="left" w:pos="274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9353A" w:rsidRPr="00131A73" w:rsidRDefault="0009353A" w:rsidP="00EA3C8D">
            <w:pPr>
              <w:tabs>
                <w:tab w:val="left" w:pos="2745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31A73">
              <w:rPr>
                <w:rFonts w:ascii="Arial" w:hAnsi="Arial"/>
                <w:b/>
                <w:sz w:val="28"/>
                <w:szCs w:val="28"/>
              </w:rPr>
              <w:t>TO BE SCORED</w:t>
            </w:r>
          </w:p>
        </w:tc>
        <w:tc>
          <w:tcPr>
            <w:tcW w:w="3594" w:type="dxa"/>
            <w:shd w:val="clear" w:color="auto" w:fill="BFBFBF"/>
          </w:tcPr>
          <w:p w:rsidR="0009353A" w:rsidRPr="00EC1644" w:rsidRDefault="0009353A" w:rsidP="00EA3C8D">
            <w:pPr>
              <w:tabs>
                <w:tab w:val="left" w:pos="2745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09353A" w:rsidRPr="00131A73" w:rsidRDefault="0009353A" w:rsidP="00EA3C8D">
            <w:pPr>
              <w:tabs>
                <w:tab w:val="left" w:pos="2745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31A73">
              <w:rPr>
                <w:rFonts w:ascii="Arial" w:hAnsi="Arial"/>
                <w:b/>
                <w:sz w:val="28"/>
                <w:szCs w:val="28"/>
              </w:rPr>
              <w:t>NOT TO BE SCORED</w:t>
            </w:r>
          </w:p>
          <w:p w:rsidR="0009353A" w:rsidRPr="00EC1644" w:rsidRDefault="0009353A" w:rsidP="00EA3C8D">
            <w:pPr>
              <w:tabs>
                <w:tab w:val="left" w:pos="274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9353A" w:rsidRPr="00B34566" w:rsidTr="00EA3C8D">
        <w:trPr>
          <w:trHeight w:val="720"/>
        </w:trPr>
        <w:tc>
          <w:tcPr>
            <w:tcW w:w="5982" w:type="dxa"/>
            <w:shd w:val="clear" w:color="auto" w:fill="auto"/>
          </w:tcPr>
          <w:p w:rsidR="0009353A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</w:p>
          <w:p w:rsidR="0009353A" w:rsidRPr="00CB3524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  <w:r w:rsidRPr="00CB3524">
              <w:rPr>
                <w:rFonts w:ascii="Arial" w:hAnsi="Arial"/>
                <w:b/>
              </w:rPr>
              <w:t>REGULAR PRINT (RED LABEL)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09353A" w:rsidRPr="00EC1644" w:rsidRDefault="0009353A" w:rsidP="00EA3C8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9353A" w:rsidRDefault="0009353A" w:rsidP="00EA3C8D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09353A" w:rsidRDefault="0009353A" w:rsidP="00EA3C8D">
            <w:pPr>
              <w:ind w:left="36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09353A" w:rsidRPr="00131A73" w:rsidRDefault="0009353A" w:rsidP="00EA3C8D">
            <w:pPr>
              <w:ind w:left="3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B3524">
              <w:rPr>
                <w:rFonts w:ascii="Arial" w:hAnsi="Arial"/>
                <w:b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sz w:val="28"/>
                <w:szCs w:val="28"/>
              </w:rPr>
              <w:t>ELLOW LABEL</w:t>
            </w:r>
          </w:p>
          <w:p w:rsidR="0009353A" w:rsidRPr="00EC1644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Pr="00EC1644" w:rsidRDefault="0009353A" w:rsidP="00EA3C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>Unused test and answer books and defective documents with the DNS bubbles gridded. Include unused special document (Braille and large print) materials and any special documents with DNS bubble gridded.</w:t>
            </w:r>
            <w:r>
              <w:rPr>
                <w:rFonts w:ascii="Arial" w:hAnsi="Arial"/>
                <w:sz w:val="20"/>
                <w:szCs w:val="20"/>
              </w:rPr>
              <w:t xml:space="preserve"> (TAM, page 93)</w:t>
            </w:r>
          </w:p>
        </w:tc>
      </w:tr>
      <w:tr w:rsidR="0009353A" w:rsidRPr="00B34566" w:rsidTr="00EA3C8D">
        <w:trPr>
          <w:trHeight w:val="720"/>
        </w:trPr>
        <w:tc>
          <w:tcPr>
            <w:tcW w:w="5982" w:type="dxa"/>
            <w:shd w:val="clear" w:color="auto" w:fill="auto"/>
          </w:tcPr>
          <w:p w:rsidR="0009353A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</w:p>
          <w:p w:rsidR="0009353A" w:rsidRPr="00CB3524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  <w:r w:rsidRPr="00CB3524">
              <w:rPr>
                <w:rFonts w:ascii="Arial" w:hAnsi="Arial"/>
                <w:b/>
              </w:rPr>
              <w:t>BRAILLE (PINK LABEL)</w:t>
            </w:r>
          </w:p>
        </w:tc>
        <w:tc>
          <w:tcPr>
            <w:tcW w:w="3594" w:type="dxa"/>
            <w:vMerge/>
            <w:shd w:val="clear" w:color="auto" w:fill="auto"/>
          </w:tcPr>
          <w:p w:rsidR="0009353A" w:rsidRPr="00EC1644" w:rsidRDefault="0009353A" w:rsidP="00EA3C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9353A" w:rsidRPr="00B34566" w:rsidTr="00EA3C8D">
        <w:trPr>
          <w:trHeight w:val="720"/>
        </w:trPr>
        <w:tc>
          <w:tcPr>
            <w:tcW w:w="5982" w:type="dxa"/>
            <w:shd w:val="clear" w:color="auto" w:fill="auto"/>
          </w:tcPr>
          <w:p w:rsidR="0009353A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</w:p>
          <w:p w:rsidR="0009353A" w:rsidRPr="00CB3524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  <w:r w:rsidRPr="00CB3524">
              <w:rPr>
                <w:rFonts w:ascii="Arial" w:hAnsi="Arial"/>
                <w:b/>
              </w:rPr>
              <w:t xml:space="preserve">LARGE PRINT Unique Accommodation Only </w:t>
            </w:r>
          </w:p>
          <w:p w:rsidR="0009353A" w:rsidRPr="00CB3524" w:rsidRDefault="0009353A" w:rsidP="00EA3C8D">
            <w:pPr>
              <w:pStyle w:val="ListParagraph"/>
              <w:tabs>
                <w:tab w:val="left" w:pos="2745"/>
              </w:tabs>
              <w:ind w:left="360"/>
              <w:jc w:val="center"/>
              <w:rPr>
                <w:rFonts w:ascii="Arial" w:hAnsi="Arial"/>
                <w:b/>
              </w:rPr>
            </w:pPr>
            <w:r w:rsidRPr="00CB3524">
              <w:rPr>
                <w:rFonts w:ascii="Arial" w:hAnsi="Arial"/>
                <w:b/>
              </w:rPr>
              <w:t>(WHITE LABEL)</w:t>
            </w:r>
          </w:p>
        </w:tc>
        <w:tc>
          <w:tcPr>
            <w:tcW w:w="3594" w:type="dxa"/>
            <w:vMerge/>
            <w:shd w:val="clear" w:color="auto" w:fill="auto"/>
          </w:tcPr>
          <w:p w:rsidR="0009353A" w:rsidRPr="00EC1644" w:rsidRDefault="0009353A" w:rsidP="00EA3C8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9353A" w:rsidRPr="00B34566" w:rsidTr="00EA3C8D">
        <w:trPr>
          <w:trHeight w:val="720"/>
        </w:trPr>
        <w:tc>
          <w:tcPr>
            <w:tcW w:w="5982" w:type="dxa"/>
            <w:shd w:val="clear" w:color="auto" w:fill="auto"/>
          </w:tcPr>
          <w:p w:rsidR="0009353A" w:rsidRPr="00EC1644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Pr="00EC1644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Remember to place the completed </w:t>
            </w:r>
            <w:r w:rsidRPr="00EC1644">
              <w:rPr>
                <w:rFonts w:ascii="Arial" w:hAnsi="Arial"/>
                <w:i/>
                <w:sz w:val="20"/>
                <w:szCs w:val="20"/>
              </w:rPr>
              <w:t>Document Count Form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</w:t>
            </w:r>
            <w:r w:rsidRPr="00EC1644">
              <w:rPr>
                <w:rFonts w:ascii="Arial" w:hAnsi="Arial"/>
                <w:sz w:val="20"/>
                <w:szCs w:val="20"/>
                <w:u w:val="single"/>
              </w:rPr>
              <w:t>under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the paper band, on top of the first banded stack labeled 1 of n, of corresponding answer documents. Do not copy </w:t>
            </w:r>
            <w:r w:rsidRPr="00EC1644">
              <w:rPr>
                <w:rFonts w:ascii="Arial" w:hAnsi="Arial"/>
                <w:i/>
                <w:sz w:val="20"/>
                <w:szCs w:val="20"/>
              </w:rPr>
              <w:t>blank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document count forms.  Detailed instructions regarding the packaging and return of </w:t>
            </w:r>
            <w:r>
              <w:rPr>
                <w:rFonts w:ascii="Arial" w:hAnsi="Arial"/>
                <w:sz w:val="20"/>
                <w:szCs w:val="20"/>
              </w:rPr>
              <w:t>Reading Retake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materials are available in the </w:t>
            </w:r>
            <w:r w:rsidRPr="0061664E">
              <w:rPr>
                <w:rFonts w:ascii="Arial" w:hAnsi="Arial"/>
                <w:sz w:val="20"/>
                <w:szCs w:val="20"/>
              </w:rPr>
              <w:t>TAM,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87-92</w:t>
            </w:r>
            <w:r w:rsidRPr="00EC1644">
              <w:rPr>
                <w:rFonts w:ascii="Arial" w:hAnsi="Arial"/>
                <w:i/>
                <w:sz w:val="20"/>
                <w:szCs w:val="20"/>
              </w:rPr>
              <w:t>).</w:t>
            </w:r>
          </w:p>
        </w:tc>
        <w:tc>
          <w:tcPr>
            <w:tcW w:w="3594" w:type="dxa"/>
            <w:vMerge/>
            <w:shd w:val="clear" w:color="auto" w:fill="auto"/>
          </w:tcPr>
          <w:p w:rsidR="0009353A" w:rsidRPr="00EC1644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9353A" w:rsidRPr="00B34566" w:rsidTr="00EA3C8D">
        <w:trPr>
          <w:trHeight w:val="1167"/>
        </w:trPr>
        <w:tc>
          <w:tcPr>
            <w:tcW w:w="9576" w:type="dxa"/>
            <w:gridSpan w:val="2"/>
            <w:shd w:val="clear" w:color="auto" w:fill="BFBFBF"/>
          </w:tcPr>
          <w:p w:rsidR="0009353A" w:rsidRPr="00EC1644" w:rsidRDefault="0009353A" w:rsidP="00EA3C8D">
            <w:pPr>
              <w:jc w:val="center"/>
              <w:rPr>
                <w:rFonts w:ascii="Arial" w:hAnsi="Arial"/>
                <w:b/>
                <w:i/>
              </w:rPr>
            </w:pPr>
          </w:p>
          <w:p w:rsidR="0009353A" w:rsidRPr="00EC1644" w:rsidRDefault="0009353A" w:rsidP="00EA3C8D">
            <w:pPr>
              <w:jc w:val="center"/>
              <w:rPr>
                <w:rFonts w:ascii="Arial" w:hAnsi="Arial"/>
                <w:b/>
              </w:rPr>
            </w:pPr>
            <w:r w:rsidRPr="00EC1644">
              <w:rPr>
                <w:rFonts w:ascii="Arial" w:hAnsi="Arial"/>
                <w:b/>
              </w:rPr>
              <w:t>Hand-deliver the “</w:t>
            </w:r>
            <w:r w:rsidRPr="00EC1644">
              <w:rPr>
                <w:rFonts w:ascii="Arial" w:hAnsi="Arial"/>
                <w:b/>
                <w:i/>
              </w:rPr>
              <w:t xml:space="preserve">DISTRICT ASSESSMENT COORDINATOR ONLY BOX”  </w:t>
            </w:r>
            <w:r w:rsidRPr="00EC1644">
              <w:rPr>
                <w:rFonts w:ascii="Arial" w:hAnsi="Arial"/>
                <w:b/>
              </w:rPr>
              <w:t xml:space="preserve">to TDC </w:t>
            </w:r>
          </w:p>
          <w:p w:rsidR="0009353A" w:rsidRPr="00EC1644" w:rsidRDefault="0009353A" w:rsidP="00EA3C8D">
            <w:pPr>
              <w:jc w:val="center"/>
              <w:rPr>
                <w:rFonts w:ascii="Arial" w:hAnsi="Arial"/>
                <w:b/>
                <w:i/>
              </w:rPr>
            </w:pPr>
            <w:proofErr w:type="gramStart"/>
            <w:r w:rsidRPr="00EC1644">
              <w:rPr>
                <w:rFonts w:ascii="Arial" w:hAnsi="Arial"/>
                <w:b/>
              </w:rPr>
              <w:t>by</w:t>
            </w:r>
            <w:proofErr w:type="gramEnd"/>
            <w:r w:rsidRPr="00EC1644">
              <w:rPr>
                <w:rFonts w:ascii="Arial" w:hAnsi="Arial"/>
                <w:b/>
              </w:rPr>
              <w:t xml:space="preserve"> 3:30 pm on </w:t>
            </w:r>
            <w:r>
              <w:rPr>
                <w:rFonts w:ascii="Arial" w:hAnsi="Arial"/>
                <w:b/>
                <w:color w:val="FF0000"/>
                <w:u w:val="single"/>
              </w:rPr>
              <w:t>Tuesday or Wednesday, October 22 or 23</w:t>
            </w:r>
            <w:r w:rsidRPr="00EC1644">
              <w:rPr>
                <w:rFonts w:ascii="Arial" w:hAnsi="Arial"/>
                <w:b/>
                <w:color w:val="FF0000"/>
                <w:u w:val="single"/>
              </w:rPr>
              <w:t>, 2013</w:t>
            </w:r>
            <w:r w:rsidRPr="00EC1644">
              <w:rPr>
                <w:rFonts w:ascii="Arial" w:hAnsi="Arial"/>
                <w:b/>
                <w:color w:val="FF0000"/>
              </w:rPr>
              <w:t>.</w:t>
            </w:r>
          </w:p>
        </w:tc>
      </w:tr>
      <w:tr w:rsidR="0009353A" w:rsidRPr="00B34566" w:rsidTr="00EA3C8D">
        <w:trPr>
          <w:trHeight w:val="1547"/>
        </w:trPr>
        <w:tc>
          <w:tcPr>
            <w:tcW w:w="9576" w:type="dxa"/>
            <w:gridSpan w:val="2"/>
            <w:shd w:val="clear" w:color="auto" w:fill="auto"/>
          </w:tcPr>
          <w:p w:rsidR="0009353A" w:rsidRPr="00EC1644" w:rsidRDefault="0009353A" w:rsidP="00EA3C8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u w:val="single"/>
              </w:rPr>
            </w:pP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b/>
                <w:sz w:val="20"/>
                <w:szCs w:val="20"/>
              </w:rPr>
              <w:t>Original Administration Record/Security Checklist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or school’s developed form with all the requ</w:t>
            </w:r>
            <w:r>
              <w:rPr>
                <w:rFonts w:ascii="Arial" w:hAnsi="Arial"/>
                <w:sz w:val="20"/>
                <w:szCs w:val="20"/>
              </w:rPr>
              <w:t>ired information, (TAM, pages 12, 189</w:t>
            </w:r>
            <w:r w:rsidRPr="00EC1644">
              <w:rPr>
                <w:rFonts w:ascii="Arial" w:hAnsi="Arial"/>
                <w:sz w:val="20"/>
                <w:szCs w:val="20"/>
              </w:rPr>
              <w:t>)</w:t>
            </w:r>
          </w:p>
          <w:p w:rsidR="0009353A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b/>
                <w:sz w:val="20"/>
                <w:szCs w:val="20"/>
              </w:rPr>
              <w:t>Session Rosters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(CBT only</w:t>
            </w:r>
            <w:r>
              <w:rPr>
                <w:rFonts w:ascii="Arial" w:hAnsi="Arial"/>
                <w:sz w:val="20"/>
                <w:szCs w:val="20"/>
              </w:rPr>
              <w:t>), (TAM, pages 6, 65</w:t>
            </w:r>
            <w:r w:rsidRPr="00EC1644">
              <w:rPr>
                <w:rFonts w:ascii="Arial" w:hAnsi="Arial"/>
                <w:sz w:val="20"/>
                <w:szCs w:val="20"/>
              </w:rPr>
              <w:t>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Seal Codes (CBT only), </w:t>
            </w:r>
            <w:r>
              <w:rPr>
                <w:rFonts w:ascii="Arial" w:hAnsi="Arial"/>
                <w:sz w:val="20"/>
                <w:szCs w:val="20"/>
              </w:rPr>
              <w:t>(TAM, pages 8, 65</w:t>
            </w:r>
            <w:r w:rsidRPr="0015632C">
              <w:rPr>
                <w:rFonts w:ascii="Arial" w:hAnsi="Arial"/>
                <w:sz w:val="20"/>
                <w:szCs w:val="20"/>
              </w:rPr>
              <w:t>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Original 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>Chain of Custody Form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(PBT Only), (TAM, page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47, 93, and 185</w:t>
            </w:r>
            <w:r w:rsidRPr="00EC1644">
              <w:rPr>
                <w:rFonts w:ascii="Arial" w:hAnsi="Arial"/>
                <w:sz w:val="20"/>
                <w:szCs w:val="20"/>
              </w:rPr>
              <w:t>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Original 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>Seating Chart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(Training Packet)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Original 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>Security Logs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, (TAM, page </w:t>
            </w:r>
            <w:r>
              <w:rPr>
                <w:rFonts w:ascii="Arial" w:hAnsi="Arial"/>
                <w:sz w:val="20"/>
                <w:szCs w:val="20"/>
              </w:rPr>
              <w:t>187</w:t>
            </w:r>
            <w:r w:rsidRPr="00EC1644">
              <w:rPr>
                <w:rFonts w:ascii="Arial" w:hAnsi="Arial"/>
                <w:sz w:val="20"/>
                <w:szCs w:val="20"/>
              </w:rPr>
              <w:t>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b/>
                <w:sz w:val="20"/>
                <w:szCs w:val="20"/>
              </w:rPr>
              <w:t>CBT Worksheets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(used and unused)</w:t>
            </w:r>
            <w:r>
              <w:rPr>
                <w:rFonts w:ascii="Arial" w:hAnsi="Arial"/>
                <w:sz w:val="20"/>
                <w:szCs w:val="20"/>
              </w:rPr>
              <w:t xml:space="preserve"> (TAM, page 211)</w:t>
            </w:r>
          </w:p>
          <w:p w:rsidR="0009353A" w:rsidRPr="00EC1644" w:rsidRDefault="0009353A" w:rsidP="0009353A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Original 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>School Procedural Checklist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(FM-6927), (Training Packet)</w:t>
            </w:r>
          </w:p>
          <w:p w:rsidR="0009353A" w:rsidRPr="00EC1644" w:rsidRDefault="0009353A" w:rsidP="00EA3C8D">
            <w:pPr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09353A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b/>
                <w:sz w:val="20"/>
                <w:szCs w:val="20"/>
                <w:u w:val="single"/>
              </w:rPr>
              <w:t>Note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>: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 </w:t>
            </w:r>
            <w:r w:rsidRPr="00EC1644">
              <w:rPr>
                <w:rFonts w:ascii="Arial" w:hAnsi="Arial" w:cs="Arial"/>
                <w:sz w:val="20"/>
                <w:szCs w:val="20"/>
              </w:rPr>
              <w:t xml:space="preserve">The Student Authorization Tickets will remain at the school for one calendar school year.  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Please retain copies of all of the required administration information for one year. </w:t>
            </w:r>
            <w:r>
              <w:rPr>
                <w:rFonts w:ascii="Arial" w:hAnsi="Arial"/>
                <w:sz w:val="20"/>
                <w:szCs w:val="20"/>
              </w:rPr>
              <w:t>Do not make copies of the CBT worksheets.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9353A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9353A" w:rsidRPr="00EC1644" w:rsidRDefault="0009353A" w:rsidP="00EA3C8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C1644">
              <w:rPr>
                <w:rFonts w:ascii="Arial" w:hAnsi="Arial"/>
                <w:sz w:val="20"/>
                <w:szCs w:val="20"/>
              </w:rPr>
              <w:t xml:space="preserve">Write </w:t>
            </w:r>
            <w:r w:rsidRPr="00EC1644">
              <w:rPr>
                <w:rFonts w:ascii="Arial" w:hAnsi="Arial"/>
                <w:b/>
                <w:i/>
                <w:sz w:val="20"/>
                <w:szCs w:val="20"/>
              </w:rPr>
              <w:t>District Assessment Coordinator Only</w:t>
            </w:r>
            <w:r w:rsidRPr="00EC164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C1644">
              <w:rPr>
                <w:rFonts w:ascii="Arial" w:hAnsi="Arial"/>
                <w:sz w:val="20"/>
                <w:szCs w:val="20"/>
              </w:rPr>
              <w:t xml:space="preserve">on this box and number the box 1 of 1.  </w:t>
            </w:r>
            <w:r w:rsidRPr="00EC1644">
              <w:rPr>
                <w:rFonts w:ascii="Arial" w:hAnsi="Arial"/>
                <w:sz w:val="20"/>
                <w:szCs w:val="20"/>
                <w:u w:val="single"/>
              </w:rPr>
              <w:t>Do not place a colored label on the box or pack any test materials</w:t>
            </w:r>
            <w:r w:rsidRPr="00EC1644">
              <w:rPr>
                <w:rFonts w:ascii="Arial" w:hAnsi="Arial"/>
                <w:sz w:val="20"/>
                <w:szCs w:val="20"/>
              </w:rPr>
              <w:t>. This box will be retained for our records at TDC.</w:t>
            </w:r>
          </w:p>
        </w:tc>
      </w:tr>
    </w:tbl>
    <w:p w:rsidR="000C4303" w:rsidRDefault="000C4303"/>
    <w:sectPr w:rsidR="000C4303" w:rsidSect="00093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7A6"/>
    <w:multiLevelType w:val="hybridMultilevel"/>
    <w:tmpl w:val="41A8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3A"/>
    <w:rsid w:val="0009353A"/>
    <w:rsid w:val="000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1</cp:revision>
  <dcterms:created xsi:type="dcterms:W3CDTF">2013-09-10T19:48:00Z</dcterms:created>
  <dcterms:modified xsi:type="dcterms:W3CDTF">2013-09-10T19:48:00Z</dcterms:modified>
</cp:coreProperties>
</file>